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1D045CB3"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034171">
        <w:rPr>
          <w:rFonts w:ascii="Arial" w:hAnsi="Arial" w:cs="Arial"/>
          <w:b/>
          <w:sz w:val="24"/>
          <w:lang w:val="en-GB"/>
        </w:rPr>
        <w:t>3</w:t>
      </w:r>
      <w:r w:rsidR="000F6F27">
        <w:rPr>
          <w:rFonts w:ascii="Arial" w:hAnsi="Arial" w:cs="Arial"/>
          <w:b/>
          <w:sz w:val="24"/>
          <w:lang w:val="en-GB"/>
        </w:rPr>
        <w:t xml:space="preserve"> Meeting #10</w:t>
      </w:r>
      <w:r w:rsidR="00034171">
        <w:rPr>
          <w:rFonts w:ascii="Arial" w:hAnsi="Arial" w:cs="Arial"/>
          <w:b/>
          <w:sz w:val="24"/>
          <w:lang w:val="en-GB"/>
        </w:rPr>
        <w:t>3</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A2458B">
        <w:rPr>
          <w:rFonts w:ascii="Arial" w:hAnsi="Arial" w:cs="Arial"/>
          <w:b/>
          <w:sz w:val="24"/>
          <w:lang w:val="en-GB"/>
        </w:rPr>
        <w:tab/>
      </w:r>
      <w:r w:rsidR="00A2458B" w:rsidRPr="00A2458B">
        <w:rPr>
          <w:rFonts w:ascii="Arial" w:hAnsi="Arial" w:cs="Arial"/>
          <w:b/>
          <w:sz w:val="24"/>
          <w:lang w:val="en-GB"/>
        </w:rPr>
        <w:t>R3-190247</w:t>
      </w:r>
    </w:p>
    <w:p w14:paraId="57673FA3" w14:textId="0A82841D" w:rsidR="00616831" w:rsidRPr="0049755C" w:rsidRDefault="000135A6" w:rsidP="00624F5C">
      <w:pPr>
        <w:pStyle w:val="TdocHeader2"/>
        <w:tabs>
          <w:tab w:val="clear" w:pos="9072"/>
          <w:tab w:val="right" w:pos="9720"/>
        </w:tabs>
        <w:rPr>
          <w:rFonts w:eastAsia="Malgun Gothic" w:cs="Arial"/>
          <w:sz w:val="24"/>
          <w:lang w:val="en-US" w:eastAsia="ko-KR"/>
        </w:rPr>
      </w:pPr>
      <w:r w:rsidRPr="000135A6">
        <w:rPr>
          <w:rFonts w:eastAsia="Malgun Gothic" w:cs="Arial"/>
          <w:sz w:val="24"/>
          <w:lang w:val="en-US" w:eastAsia="ko-KR"/>
        </w:rPr>
        <w:t>Athens, Greece, 25th February - 1st March 2019</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A888052" w:rsidR="00D52BF3" w:rsidRPr="00B208AD" w:rsidRDefault="00D52BF3" w:rsidP="00D730DD">
      <w:pPr>
        <w:pStyle w:val="TdocHeader2"/>
        <w:spacing w:after="120"/>
        <w:ind w:left="1710" w:hanging="1710"/>
        <w:jc w:val="left"/>
        <w:rPr>
          <w:sz w:val="24"/>
        </w:rPr>
      </w:pPr>
      <w:r w:rsidRPr="00B208AD">
        <w:rPr>
          <w:sz w:val="24"/>
        </w:rPr>
        <w:t>Title:</w:t>
      </w:r>
      <w:bookmarkStart w:id="2" w:name="Title"/>
      <w:bookmarkEnd w:id="2"/>
      <w:r w:rsidRPr="00B208AD">
        <w:rPr>
          <w:sz w:val="24"/>
        </w:rPr>
        <w:tab/>
      </w:r>
      <w:r w:rsidR="00FB4B16">
        <w:rPr>
          <w:sz w:val="24"/>
        </w:rPr>
        <w:t>Route redundancy for IAB node</w:t>
      </w:r>
      <w:r w:rsidR="00B9022A">
        <w:rPr>
          <w:sz w:val="24"/>
        </w:rPr>
        <w:t>s</w:t>
      </w:r>
      <w:r w:rsidR="00FB4B16">
        <w:rPr>
          <w:sz w:val="24"/>
        </w:rPr>
        <w:t xml:space="preserve"> in NSA mode</w:t>
      </w:r>
    </w:p>
    <w:p w14:paraId="08AD6C06" w14:textId="7F188F11" w:rsidR="00D52BF3" w:rsidRPr="00B208AD" w:rsidRDefault="00D52BF3" w:rsidP="00700F24">
      <w:pPr>
        <w:pStyle w:val="TdocHeader2"/>
        <w:spacing w:after="120"/>
        <w:rPr>
          <w:sz w:val="24"/>
        </w:rPr>
      </w:pPr>
      <w:r w:rsidRPr="00B208AD">
        <w:rPr>
          <w:sz w:val="24"/>
        </w:rPr>
        <w:t>Agenda Item:</w:t>
      </w:r>
      <w:r w:rsidRPr="00B208AD">
        <w:rPr>
          <w:sz w:val="24"/>
        </w:rPr>
        <w:tab/>
      </w:r>
      <w:r w:rsidR="00FB4B16">
        <w:rPr>
          <w:bCs/>
          <w:iCs/>
          <w:sz w:val="24"/>
        </w:rPr>
        <w:t>13.3.1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71FE4F3D" w14:textId="135263E8" w:rsidR="00520CEA" w:rsidRDefault="00AE585A" w:rsidP="00C82D64">
      <w:pPr>
        <w:spacing w:after="0"/>
      </w:pPr>
      <w:r>
        <w:rPr>
          <w:lang w:val="en-GB"/>
        </w:rPr>
        <w:t>The IAB SI phase concluded in December 2018 with several decisions regarding IAB architecture</w:t>
      </w:r>
      <w:r w:rsidR="00E66F52">
        <w:rPr>
          <w:lang w:val="en-GB"/>
        </w:rPr>
        <w:t xml:space="preserve"> and protocol stack details</w:t>
      </w:r>
      <w:r w:rsidR="00061478" w:rsidRPr="005D1107">
        <w:t>.</w:t>
      </w:r>
      <w:r>
        <w:t xml:space="preserve"> </w:t>
      </w:r>
      <w:r w:rsidR="00520CEA">
        <w:t>Some of the objectives list</w:t>
      </w:r>
      <w:r w:rsidR="00E66F52">
        <w:t>ed</w:t>
      </w:r>
      <w:r w:rsidR="00520CEA">
        <w:t xml:space="preserve"> in the IAB WID </w:t>
      </w:r>
      <w:r w:rsidR="009F34B1">
        <w:t xml:space="preserve">for Release 16 </w:t>
      </w:r>
      <w:r w:rsidR="00E66F52">
        <w:t>[1] include</w:t>
      </w:r>
      <w:r w:rsidR="00520CEA">
        <w:t>:</w:t>
      </w:r>
    </w:p>
    <w:p w14:paraId="67B16AEA" w14:textId="77777777" w:rsidR="00520CEA" w:rsidRDefault="00520CEA" w:rsidP="00520CEA">
      <w:pPr>
        <w:pStyle w:val="maintext"/>
        <w:numPr>
          <w:ilvl w:val="0"/>
          <w:numId w:val="26"/>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1C5F7444" w14:textId="77777777" w:rsidR="00520CEA" w:rsidRDefault="00520CEA" w:rsidP="00520CEA">
      <w:pPr>
        <w:pStyle w:val="maintext"/>
        <w:numPr>
          <w:ilvl w:val="1"/>
          <w:numId w:val="26"/>
        </w:numPr>
        <w:spacing w:line="240" w:lineRule="auto"/>
        <w:ind w:firstLineChars="0"/>
        <w:jc w:val="left"/>
        <w:rPr>
          <w:rFonts w:eastAsia="Times New Roman" w:cs="Times New Roman"/>
          <w:lang w:eastAsia="en-US"/>
        </w:rPr>
      </w:pPr>
      <w:r>
        <w:rPr>
          <w:rFonts w:eastAsia="Times New Roman" w:cs="Times New Roman"/>
          <w:lang w:eastAsia="en-US"/>
        </w:rPr>
        <w:t xml:space="preserve">Procedures for IAB-node integration for SA and NSA modes, including enhancements needed to E-UTRAN for NSA mode. </w:t>
      </w:r>
    </w:p>
    <w:p w14:paraId="14FC25B4" w14:textId="77777777" w:rsidR="00520CEA" w:rsidRDefault="00520CEA" w:rsidP="00520CEA">
      <w:pPr>
        <w:pStyle w:val="maintext"/>
        <w:numPr>
          <w:ilvl w:val="1"/>
          <w:numId w:val="26"/>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Pr>
          <w:rFonts w:eastAsia="Times New Roman" w:cs="Times New Roman"/>
          <w:lang w:eastAsia="en-US"/>
        </w:rPr>
        <w:t>-d</w:t>
      </w:r>
      <w:r w:rsidRPr="00D83C0E">
        <w:rPr>
          <w:rFonts w:eastAsia="Times New Roman" w:cs="Times New Roman"/>
          <w:lang w:eastAsia="en-US"/>
        </w:rPr>
        <w:t xml:space="preserve">onor (with or without a change of </w:t>
      </w:r>
      <w:r>
        <w:rPr>
          <w:rFonts w:eastAsia="Times New Roman" w:cs="Times New Roman"/>
          <w:lang w:eastAsia="en-US"/>
        </w:rPr>
        <w:t>IAB-</w:t>
      </w:r>
      <w:r w:rsidRPr="00D83C0E">
        <w:rPr>
          <w:rFonts w:eastAsia="Times New Roman" w:cs="Times New Roman"/>
          <w:lang w:eastAsia="en-US"/>
        </w:rPr>
        <w:t>donor DU), and between different IAB</w:t>
      </w:r>
      <w:r>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Pr="00D83C0E">
        <w:rPr>
          <w:rFonts w:eastAsia="Times New Roman" w:cs="Times New Roman"/>
          <w:lang w:eastAsia="en-US"/>
        </w:rPr>
        <w:t>Migration of IAB</w:t>
      </w:r>
      <w:r>
        <w:rPr>
          <w:rFonts w:eastAsia="Times New Roman" w:cs="Times New Roman"/>
          <w:lang w:eastAsia="en-US"/>
        </w:rPr>
        <w:t>-</w:t>
      </w:r>
      <w:r w:rsidRPr="00D83C0E">
        <w:rPr>
          <w:rFonts w:eastAsia="Times New Roman" w:cs="Times New Roman"/>
          <w:lang w:eastAsia="en-US"/>
        </w:rPr>
        <w:t>node could be network</w:t>
      </w:r>
      <w:r>
        <w:rPr>
          <w:rFonts w:eastAsia="Times New Roman" w:cs="Times New Roman"/>
          <w:lang w:eastAsia="en-US"/>
        </w:rPr>
        <w:t>-</w:t>
      </w:r>
      <w:r w:rsidRPr="00D83C0E">
        <w:rPr>
          <w:rFonts w:eastAsia="Times New Roman" w:cs="Times New Roman"/>
          <w:lang w:eastAsia="en-US"/>
        </w:rPr>
        <w:t>controlled or could be due to BH RLF.</w:t>
      </w:r>
      <w:r w:rsidDel="00D83C0E">
        <w:rPr>
          <w:rFonts w:eastAsia="Times New Roman" w:cs="Times New Roman"/>
          <w:lang w:eastAsia="en-US"/>
        </w:rPr>
        <w:t xml:space="preserve"> </w:t>
      </w:r>
    </w:p>
    <w:p w14:paraId="283F2B6E" w14:textId="77777777" w:rsidR="00520CEA" w:rsidRPr="006800BA" w:rsidRDefault="00520CEA" w:rsidP="00520CEA">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p w14:paraId="2B6CFA59" w14:textId="77777777" w:rsidR="00520CEA" w:rsidRDefault="00520CEA" w:rsidP="00C82D64">
      <w:pPr>
        <w:spacing w:after="0"/>
      </w:pPr>
    </w:p>
    <w:p w14:paraId="5728C746" w14:textId="3B274098" w:rsidR="00061478" w:rsidRPr="005D1107" w:rsidRDefault="009F34B1" w:rsidP="00C82D64">
      <w:pPr>
        <w:spacing w:after="0"/>
      </w:pPr>
      <w:r>
        <w:t xml:space="preserve">In this contribution we discuss issues related to providing route redundancy for IAB nodes that are operating in NSA mode. </w:t>
      </w:r>
    </w:p>
    <w:p w14:paraId="2A8F5112" w14:textId="3FE1DEAF" w:rsidR="004C45DE" w:rsidRDefault="00641042" w:rsidP="00C82D64">
      <w:pPr>
        <w:spacing w:after="0"/>
        <w:rPr>
          <w:sz w:val="24"/>
        </w:rPr>
      </w:pPr>
      <w:r>
        <w:rPr>
          <w:sz w:val="24"/>
        </w:rPr>
        <w:t xml:space="preserve"> </w:t>
      </w:r>
    </w:p>
    <w:p w14:paraId="18D66DBA" w14:textId="2FAEE054" w:rsidR="003A267A" w:rsidRDefault="009F34B1" w:rsidP="003A267A">
      <w:pPr>
        <w:pStyle w:val="Heading1"/>
      </w:pPr>
      <w:r>
        <w:t>Route Redundancy in NSA Mode</w:t>
      </w:r>
    </w:p>
    <w:p w14:paraId="4A5FEBB6" w14:textId="19FE8C61" w:rsidR="008263CF" w:rsidRDefault="00715978" w:rsidP="003D0616">
      <w:r>
        <w:t>Route redundancy in a</w:t>
      </w:r>
      <w:r w:rsidR="007049AC">
        <w:t>n</w:t>
      </w:r>
      <w:r w:rsidR="00E66F52">
        <w:t xml:space="preserve"> IAB network requires setting up a redundant route</w:t>
      </w:r>
      <w:r w:rsidR="00CC4FB0">
        <w:t xml:space="preserve"> that could be used in case the current route is not suitable</w:t>
      </w:r>
      <w:r w:rsidR="00E66F52">
        <w:t xml:space="preserve">. Based </w:t>
      </w:r>
      <w:r w:rsidR="00CC4FB0">
        <w:t xml:space="preserve">on discussion in the IAB SI [2], </w:t>
      </w:r>
      <w:r w:rsidR="00925B36">
        <w:t>redun</w:t>
      </w:r>
      <w:r w:rsidR="000C336F">
        <w:t xml:space="preserve">dant routes can be set up by </w:t>
      </w:r>
      <w:r w:rsidR="007049AC">
        <w:t xml:space="preserve">configuring </w:t>
      </w:r>
      <w:r w:rsidR="000C336F">
        <w:t>dual connect</w:t>
      </w:r>
      <w:r w:rsidR="00E52FC5">
        <w:t>ivity</w:t>
      </w:r>
      <w:r w:rsidR="001C616A">
        <w:t xml:space="preserve"> at</w:t>
      </w:r>
      <w:r w:rsidR="00E52FC5">
        <w:t xml:space="preserve"> </w:t>
      </w:r>
      <w:r w:rsidR="001C616A">
        <w:t>the MT of IAB nodes</w:t>
      </w:r>
      <w:r w:rsidR="00E52FC5">
        <w:t>. As shown in Figure 1</w:t>
      </w:r>
      <w:r w:rsidR="000C336F">
        <w:t xml:space="preserve"> from [2], in step a), first an SCG link to the MT of the green IAB n</w:t>
      </w:r>
      <w:r w:rsidR="00E52FC5">
        <w:t>ode is established follow</w:t>
      </w:r>
      <w:r w:rsidR="001C616A">
        <w:t xml:space="preserve">ed </w:t>
      </w:r>
      <w:r w:rsidR="00E52FC5">
        <w:t xml:space="preserve">by </w:t>
      </w:r>
      <w:r w:rsidR="000C336F">
        <w:t>addition of the redundant route</w:t>
      </w:r>
      <w:r w:rsidR="001C616A">
        <w:t xml:space="preserve"> in step b)</w:t>
      </w:r>
      <w:r w:rsidR="000C336F">
        <w:t xml:space="preserve">. It is clear from this discussion and figure that establishing a redundant route requires utilizing the second DC leg of the MT of the IAB node. </w:t>
      </w:r>
    </w:p>
    <w:p w14:paraId="10CF01C0" w14:textId="5656320D" w:rsidR="00E52FC5" w:rsidRDefault="00E52FC5" w:rsidP="00E52FC5">
      <w:r>
        <w:t>When IAB is deploy</w:t>
      </w:r>
      <w:r w:rsidR="00715978">
        <w:t>ed in a non-standalone (</w:t>
      </w:r>
      <w:r>
        <w:t>NSA</w:t>
      </w:r>
      <w:r w:rsidR="00715978">
        <w:t>)</w:t>
      </w:r>
      <w:r>
        <w:t xml:space="preserve"> architecture, the MT</w:t>
      </w:r>
      <w:r w:rsidR="00901057">
        <w:t>’s</w:t>
      </w:r>
      <w:r>
        <w:t xml:space="preserve"> control plane anchor is at the LTE </w:t>
      </w:r>
      <w:proofErr w:type="spellStart"/>
      <w:r>
        <w:t>eNB</w:t>
      </w:r>
      <w:proofErr w:type="spellEnd"/>
      <w:r>
        <w:t xml:space="preserve"> while the user plane is delivered by the NR </w:t>
      </w:r>
      <w:proofErr w:type="spellStart"/>
      <w:r>
        <w:t>gNB</w:t>
      </w:r>
      <w:proofErr w:type="spellEnd"/>
      <w:r>
        <w:t xml:space="preserve"> via a multi-hop IAB network. This is depicted in Figure 2 below. </w:t>
      </w:r>
      <w:r w:rsidR="00715978">
        <w:t>Since</w:t>
      </w:r>
      <w:r w:rsidR="0023044C">
        <w:t xml:space="preserve"> </w:t>
      </w:r>
      <w:r w:rsidR="00901057">
        <w:t>the MT</w:t>
      </w:r>
      <w:r w:rsidR="0023044C">
        <w:t xml:space="preserve"> operates in EN-DC mode with the L</w:t>
      </w:r>
      <w:r w:rsidR="00715978">
        <w:t xml:space="preserve">TE </w:t>
      </w:r>
      <w:proofErr w:type="spellStart"/>
      <w:r w:rsidR="00715978">
        <w:t>eNB</w:t>
      </w:r>
      <w:proofErr w:type="spellEnd"/>
      <w:r w:rsidR="00715978">
        <w:t xml:space="preserve"> as MCG and NR </w:t>
      </w:r>
      <w:proofErr w:type="spellStart"/>
      <w:r w:rsidR="00715978">
        <w:t>gNB</w:t>
      </w:r>
      <w:proofErr w:type="spellEnd"/>
      <w:r w:rsidR="00715978">
        <w:t xml:space="preserve"> as SCG, both DC legs at the MT are already utilized. This leaves no DC leg available to provide route redundancy for the IAB node</w:t>
      </w:r>
      <w:r w:rsidR="00901057">
        <w:t xml:space="preserve">, in the way it could be provided for an IAB node deployed in SA mode as shown in Figure 1. </w:t>
      </w:r>
      <w:r w:rsidR="00C232C0">
        <w:t xml:space="preserve">In this contribution we discuss issues related to solving this problem. </w:t>
      </w:r>
    </w:p>
    <w:p w14:paraId="673014B4" w14:textId="319860E0" w:rsidR="006A19C7" w:rsidRPr="001C616A" w:rsidRDefault="007049AC" w:rsidP="003D0616">
      <w:pPr>
        <w:rPr>
          <w:b/>
        </w:rPr>
      </w:pPr>
      <w:r w:rsidRPr="001C616A">
        <w:rPr>
          <w:b/>
        </w:rPr>
        <w:t xml:space="preserve">Observation 1: </w:t>
      </w:r>
      <w:r w:rsidR="001C616A" w:rsidRPr="001C616A">
        <w:rPr>
          <w:b/>
        </w:rPr>
        <w:t>IAB nodes operating in NSA mode cannot utilize dual connectivity to provide route redundancy</w:t>
      </w:r>
      <w:r w:rsidR="001C616A">
        <w:rPr>
          <w:b/>
        </w:rPr>
        <w:t>.</w:t>
      </w:r>
    </w:p>
    <w:p w14:paraId="64AF06BD" w14:textId="3E92483B" w:rsidR="00CC4FB0" w:rsidRDefault="00CC4FB0" w:rsidP="00CC4FB0">
      <w:pPr>
        <w:jc w:val="center"/>
      </w:pPr>
      <w:r>
        <w:rPr>
          <w:noProof/>
        </w:rPr>
        <w:lastRenderedPageBreak/>
        <w:drawing>
          <wp:inline distT="0" distB="0" distL="0" distR="0" wp14:anchorId="7579B3B5" wp14:editId="605C71B9">
            <wp:extent cx="5406919" cy="37719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6526" cy="3778602"/>
                    </a:xfrm>
                    <a:prstGeom prst="rect">
                      <a:avLst/>
                    </a:prstGeom>
                    <a:noFill/>
                  </pic:spPr>
                </pic:pic>
              </a:graphicData>
            </a:graphic>
          </wp:inline>
        </w:drawing>
      </w:r>
    </w:p>
    <w:p w14:paraId="599E16CF" w14:textId="45DC0423" w:rsidR="00CC4FB0" w:rsidRDefault="00B07B09" w:rsidP="00CC4FB0">
      <w:pPr>
        <w:jc w:val="center"/>
      </w:pPr>
      <w:r>
        <w:t>Figure 1</w:t>
      </w:r>
      <w:r w:rsidR="00CC4FB0">
        <w:t>: Procedure for adding SCG link and redundant route to a descendent IAB node [2]</w:t>
      </w:r>
    </w:p>
    <w:p w14:paraId="2C2F1B2E" w14:textId="77777777" w:rsidR="003C6F47" w:rsidRDefault="003C6F47" w:rsidP="00CC4FB0">
      <w:pPr>
        <w:jc w:val="center"/>
      </w:pPr>
    </w:p>
    <w:p w14:paraId="71B8DD71" w14:textId="77777777" w:rsidR="003C6F47" w:rsidRDefault="003C6F47" w:rsidP="003C6F47">
      <w:pPr>
        <w:jc w:val="center"/>
      </w:pPr>
      <w:r>
        <w:rPr>
          <w:noProof/>
        </w:rPr>
        <w:drawing>
          <wp:inline distT="0" distB="0" distL="0" distR="0" wp14:anchorId="0A9D16F5" wp14:editId="47865D04">
            <wp:extent cx="2631440" cy="34882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38684" cy="3497859"/>
                    </a:xfrm>
                    <a:prstGeom prst="rect">
                      <a:avLst/>
                    </a:prstGeom>
                    <a:noFill/>
                  </pic:spPr>
                </pic:pic>
              </a:graphicData>
            </a:graphic>
          </wp:inline>
        </w:drawing>
      </w:r>
    </w:p>
    <w:p w14:paraId="5C141CAE" w14:textId="46E1B765" w:rsidR="003C6F47" w:rsidRDefault="00B07B09" w:rsidP="003C6F47">
      <w:pPr>
        <w:jc w:val="center"/>
      </w:pPr>
      <w:r>
        <w:t>Figure 2</w:t>
      </w:r>
      <w:r w:rsidR="003C6F47">
        <w:t>: IAB NSA Architecture</w:t>
      </w:r>
    </w:p>
    <w:p w14:paraId="7E60CD2B" w14:textId="55F5B726" w:rsidR="00CC4FB0" w:rsidRDefault="00FE078C" w:rsidP="00DA55D4">
      <w:r>
        <w:lastRenderedPageBreak/>
        <w:t>There are three possible solutions to the problem of providing route redundancy to IAB nodes</w:t>
      </w:r>
      <w:r w:rsidR="00B34888">
        <w:t xml:space="preserve"> operating in NSA mode. These are discussed further below:</w:t>
      </w:r>
    </w:p>
    <w:p w14:paraId="3CD35899" w14:textId="3D2ABD9B" w:rsidR="00FE078C" w:rsidRDefault="00B34888" w:rsidP="00FE078C">
      <w:pPr>
        <w:pStyle w:val="ListParagraph"/>
        <w:numPr>
          <w:ilvl w:val="0"/>
          <w:numId w:val="26"/>
        </w:numPr>
      </w:pPr>
      <w:r>
        <w:t>MT-</w:t>
      </w:r>
      <w:r w:rsidR="007062CE">
        <w:t>based multi-connectivity</w:t>
      </w:r>
    </w:p>
    <w:p w14:paraId="08A14E6E" w14:textId="2142BBDA" w:rsidR="00C32E12" w:rsidRDefault="00A908C2" w:rsidP="00FE078C">
      <w:pPr>
        <w:pStyle w:val="ListParagraph"/>
        <w:numPr>
          <w:ilvl w:val="0"/>
          <w:numId w:val="26"/>
        </w:numPr>
      </w:pPr>
      <w:r>
        <w:t>Fast</w:t>
      </w:r>
      <w:r w:rsidR="00C32E12">
        <w:t xml:space="preserve"> SCG change</w:t>
      </w:r>
    </w:p>
    <w:p w14:paraId="4DFB6E0E" w14:textId="072F074C" w:rsidR="00C32E12" w:rsidRDefault="00C32E12" w:rsidP="00FE078C">
      <w:pPr>
        <w:pStyle w:val="ListParagraph"/>
        <w:numPr>
          <w:ilvl w:val="0"/>
          <w:numId w:val="26"/>
        </w:numPr>
      </w:pPr>
      <w:r>
        <w:t>Extending DC to more than 2 legs</w:t>
      </w:r>
    </w:p>
    <w:p w14:paraId="3237B019" w14:textId="4E8018B3" w:rsidR="00C32E12" w:rsidRDefault="00C32E12" w:rsidP="00C32E12"/>
    <w:p w14:paraId="23407A73" w14:textId="4015F885" w:rsidR="00B34888" w:rsidRDefault="00B34888" w:rsidP="00B34888">
      <w:pPr>
        <w:pStyle w:val="Heading2"/>
      </w:pPr>
      <w:r>
        <w:t>MT-based multi-connectivity</w:t>
      </w:r>
    </w:p>
    <w:p w14:paraId="2189F47F" w14:textId="3958754E" w:rsidR="003715C7" w:rsidRDefault="003719E3" w:rsidP="00C32E12">
      <w:r>
        <w:t xml:space="preserve">During the IAB SI phase there was some discussion related to providing route redundancy using a solution that utilizes more than one MT function at the IAB node. This is depicted </w:t>
      </w:r>
      <w:r w:rsidR="00A908C2">
        <w:t xml:space="preserve">below </w:t>
      </w:r>
      <w:r>
        <w:t>in Figures 3 c) and 3 d)</w:t>
      </w:r>
      <w:r w:rsidR="00A908C2">
        <w:t xml:space="preserve"> copied from the IAB SI TR [2]</w:t>
      </w:r>
      <w:r w:rsidR="003715C7">
        <w:t xml:space="preserve">. </w:t>
      </w:r>
      <w:r w:rsidR="003715C7">
        <w:t xml:space="preserve">In this solution since there are multiple MTs per IAB node, each MT node can be in EN-DC mode and still be able to provide redundant routes to the IAB node. This solution may </w:t>
      </w:r>
      <w:r w:rsidR="00FD33A7">
        <w:t>create</w:t>
      </w:r>
      <w:r w:rsidR="003715C7">
        <w:t xml:space="preserve"> some inter-MT coordination requirements for the IAB node. Further details of</w:t>
      </w:r>
      <w:r w:rsidR="00FD33A7">
        <w:t xml:space="preserve"> such coordination,</w:t>
      </w:r>
      <w:r w:rsidR="003715C7">
        <w:t xml:space="preserve"> and implications to standardization should be assessed.</w:t>
      </w:r>
    </w:p>
    <w:p w14:paraId="1A3DA9AE" w14:textId="77777777" w:rsidR="003719E3" w:rsidRPr="00E23CFA" w:rsidRDefault="003719E3" w:rsidP="003719E3">
      <w:pPr>
        <w:pStyle w:val="TH"/>
      </w:pPr>
      <w:r w:rsidRPr="00E23CFA">
        <w:object w:dxaOrig="8490" w:dyaOrig="7316" w14:anchorId="2962A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80pt" o:ole="">
            <v:imagedata r:id="rId10" o:title=""/>
          </v:shape>
          <o:OLEObject Type="Embed" ProgID="Visio.Drawing.11" ShapeID="_x0000_i1025" DrawAspect="Content" ObjectID="_1611686190" r:id="rId11"/>
        </w:object>
      </w:r>
      <w:r w:rsidRPr="00E23CFA">
        <w:object w:dxaOrig="8489" w:dyaOrig="7316" w14:anchorId="4869B47B">
          <v:shape id="_x0000_i1026" type="#_x0000_t75" style="width:208.5pt;height:180pt" o:ole="">
            <v:imagedata r:id="rId12" o:title=""/>
          </v:shape>
          <o:OLEObject Type="Embed" ProgID="Visio.Drawing.11" ShapeID="_x0000_i1026" DrawAspect="Content" ObjectID="_1611686191" r:id="rId13"/>
        </w:object>
      </w:r>
    </w:p>
    <w:p w14:paraId="386F3718" w14:textId="6DCC72D3" w:rsidR="003719E3" w:rsidRDefault="00897714" w:rsidP="003719E3">
      <w:pPr>
        <w:jc w:val="center"/>
      </w:pPr>
      <w:r>
        <w:t xml:space="preserve">Figure 3: </w:t>
      </w:r>
      <w:r w:rsidR="002E0615">
        <w:t>Route redundancy using single or multiple MT functions [2]</w:t>
      </w:r>
    </w:p>
    <w:p w14:paraId="5140434C" w14:textId="67533106" w:rsidR="003719E3" w:rsidRPr="00B7714A" w:rsidRDefault="00B7714A" w:rsidP="00C32E12">
      <w:pPr>
        <w:rPr>
          <w:b/>
        </w:rPr>
      </w:pPr>
      <w:r w:rsidRPr="00B7714A">
        <w:rPr>
          <w:b/>
        </w:rPr>
        <w:t>Proposal 1: 3GPP should consider the use of MT-based multiconnectivity solutions to provide route redundancy for NSA-mode IAB nodes.</w:t>
      </w:r>
    </w:p>
    <w:p w14:paraId="1D458EEC" w14:textId="08188B39" w:rsidR="0012005F" w:rsidRDefault="00044CB4" w:rsidP="0012005F">
      <w:pPr>
        <w:pStyle w:val="Heading2"/>
      </w:pPr>
      <w:r>
        <w:t>Fast</w:t>
      </w:r>
      <w:r w:rsidR="0012005F">
        <w:t xml:space="preserve"> SCG change</w:t>
      </w:r>
    </w:p>
    <w:p w14:paraId="58E20348" w14:textId="713C24D1" w:rsidR="0012005F" w:rsidRDefault="00142B04" w:rsidP="00C32E12">
      <w:r>
        <w:t xml:space="preserve">As part of the WI on mobility enhancements [3], RAN2 is working on the solutions to reduce interruption time during HO/SCG change as described in the WI objectives below: </w:t>
      </w:r>
    </w:p>
    <w:p w14:paraId="3AB39E87" w14:textId="77777777" w:rsidR="00142B04" w:rsidRDefault="00142B04" w:rsidP="00142B04">
      <w:pPr>
        <w:pStyle w:val="B1"/>
        <w:numPr>
          <w:ilvl w:val="0"/>
          <w:numId w:val="27"/>
        </w:numPr>
        <w:rPr>
          <w:lang w:val="en-US" w:eastAsia="ja-JP"/>
        </w:rPr>
      </w:pPr>
      <w:r>
        <w:rPr>
          <w:lang w:val="en-US" w:eastAsia="ja-JP"/>
        </w:rPr>
        <w:t xml:space="preserve">To study solution(s) to reduce interruption time during HO/SCG change focusing on the following identified solutions but not limited. </w:t>
      </w:r>
    </w:p>
    <w:p w14:paraId="17D56C6C" w14:textId="77777777" w:rsidR="00142B04" w:rsidRDefault="00142B04" w:rsidP="00142B04">
      <w:pPr>
        <w:pStyle w:val="B1"/>
        <w:numPr>
          <w:ilvl w:val="1"/>
          <w:numId w:val="27"/>
        </w:numPr>
        <w:rPr>
          <w:lang w:val="en-US" w:eastAsia="ja-JP"/>
        </w:rPr>
      </w:pPr>
      <w:r>
        <w:rPr>
          <w:lang w:eastAsia="ja-JP"/>
        </w:rPr>
        <w:t xml:space="preserve">Handover/SCG change with simultaneous connectivity with source cell and target cell. </w:t>
      </w:r>
    </w:p>
    <w:p w14:paraId="71AD3ABB" w14:textId="77777777" w:rsidR="00142B04" w:rsidRDefault="00142B04" w:rsidP="00142B04">
      <w:pPr>
        <w:pStyle w:val="B1"/>
        <w:numPr>
          <w:ilvl w:val="1"/>
          <w:numId w:val="27"/>
        </w:numPr>
        <w:rPr>
          <w:lang w:eastAsia="ja-JP"/>
        </w:rPr>
      </w:pPr>
      <w:r>
        <w:rPr>
          <w:lang w:eastAsia="ja-JP"/>
        </w:rPr>
        <w:t xml:space="preserve">Make-before-break </w:t>
      </w:r>
    </w:p>
    <w:p w14:paraId="1DB30D6C" w14:textId="77777777" w:rsidR="00142B04" w:rsidRDefault="00142B04" w:rsidP="00142B04">
      <w:pPr>
        <w:pStyle w:val="B1"/>
        <w:numPr>
          <w:ilvl w:val="1"/>
          <w:numId w:val="27"/>
        </w:numPr>
        <w:rPr>
          <w:lang w:eastAsia="ja-JP"/>
        </w:rPr>
      </w:pPr>
      <w:r>
        <w:rPr>
          <w:rFonts w:cs="Calibri"/>
          <w:bCs/>
          <w:lang w:eastAsia="zh-CN"/>
        </w:rPr>
        <w:t xml:space="preserve">RACH-less handover </w:t>
      </w:r>
    </w:p>
    <w:p w14:paraId="53852E0D" w14:textId="7D8CB361" w:rsidR="00142B04" w:rsidRDefault="00CF1913" w:rsidP="00C32E12">
      <w:r>
        <w:t>Since multiconnectivity at the MT cannot be utilized to provide route redundancy for NSA-based IAB nodes, t</w:t>
      </w:r>
      <w:r w:rsidR="00142B04">
        <w:t xml:space="preserve">he solutions being explored by RAN2 to minimize or eliminate interruption time during SCG change could be </w:t>
      </w:r>
      <w:r>
        <w:t>considered</w:t>
      </w:r>
      <w:r w:rsidR="00142B04">
        <w:t xml:space="preserve">. With such solutions, the MT’s user plane could be </w:t>
      </w:r>
      <w:r w:rsidR="003F1C52">
        <w:t>fast-</w:t>
      </w:r>
      <w:r w:rsidR="00142B04">
        <w:t xml:space="preserve">switched from the SCG corresponding to </w:t>
      </w:r>
      <w:r w:rsidR="00142B04">
        <w:lastRenderedPageBreak/>
        <w:t>one route</w:t>
      </w:r>
      <w:r w:rsidR="003F1C52">
        <w:t>,</w:t>
      </w:r>
      <w:r w:rsidR="00142B04">
        <w:t xml:space="preserve"> to the SCG corresponding to an already identified alternate route.</w:t>
      </w:r>
      <w:r w:rsidR="003F1C52">
        <w:t xml:space="preserve"> So even though two redundant routes cannot be simultaneously be configured for NSA-mode IAB nodes, it may still be possible to switch quickly from one route to another route without interruption. </w:t>
      </w:r>
      <w:r w:rsidR="00142B04">
        <w:t xml:space="preserve"> </w:t>
      </w:r>
    </w:p>
    <w:p w14:paraId="19CA8847" w14:textId="4C68F5CD" w:rsidR="00B7714A" w:rsidRPr="00B7714A" w:rsidRDefault="00B7714A" w:rsidP="00C32E12">
      <w:pPr>
        <w:rPr>
          <w:b/>
        </w:rPr>
      </w:pPr>
      <w:r w:rsidRPr="00B7714A">
        <w:rPr>
          <w:b/>
        </w:rPr>
        <w:t>Proposal 2: 3GPP should consider the use of fast SCG change solutions to provide rapid path switching between redundant routes preconfigured for NSA-mode IAB nodes.</w:t>
      </w:r>
    </w:p>
    <w:p w14:paraId="67A012FA" w14:textId="2F6458A0" w:rsidR="0012005F" w:rsidRDefault="00060928" w:rsidP="00060928">
      <w:pPr>
        <w:pStyle w:val="Heading2"/>
      </w:pPr>
      <w:r>
        <w:t>Extend dual connectivity to more than 2 legs</w:t>
      </w:r>
    </w:p>
    <w:p w14:paraId="0A818053" w14:textId="2E2D91B2" w:rsidR="005C28B1" w:rsidRDefault="00060928" w:rsidP="00DA55D4">
      <w:r>
        <w:t xml:space="preserve">The third possible solution to provide route redundancy to IAB nodes operating in NSA mode is to remove the restriction </w:t>
      </w:r>
      <w:r w:rsidR="00B7714A">
        <w:t>of 2 DC legs</w:t>
      </w:r>
      <w:r>
        <w:t>.</w:t>
      </w:r>
      <w:r w:rsidR="00B7714A">
        <w:t xml:space="preserve"> This would solve the underlying problem that an NSA-mode IAB node does not have another leg available for configuring a redundant route. If a third multiconnectivity leg is available, it could be easily set up to provide a redundant route in </w:t>
      </w:r>
      <w:proofErr w:type="gramStart"/>
      <w:r w:rsidR="00B7714A">
        <w:t>exactly the same</w:t>
      </w:r>
      <w:proofErr w:type="gramEnd"/>
      <w:r w:rsidR="00B7714A">
        <w:t xml:space="preserve"> manner as route redundancy may be configured for SA-based IAB nodes. This would ensure consistently of route redundancy procedures between SA and NSA based deployments. Enabling more than 2 multiconnectivity legs</w:t>
      </w:r>
      <w:r w:rsidR="006257A2">
        <w:t xml:space="preserve"> has</w:t>
      </w:r>
      <w:r w:rsidR="001625FB">
        <w:t xml:space="preserve"> come up </w:t>
      </w:r>
      <w:r w:rsidR="006257A2">
        <w:t>in the past</w:t>
      </w:r>
      <w:r w:rsidR="0076467D">
        <w:t xml:space="preserve"> </w:t>
      </w:r>
      <w:r w:rsidR="00CC4507">
        <w:t>during</w:t>
      </w:r>
      <w:r w:rsidR="001625FB">
        <w:t>,</w:t>
      </w:r>
      <w:r w:rsidR="00CC4507">
        <w:t xml:space="preserve"> </w:t>
      </w:r>
      <w:r w:rsidR="001625FB">
        <w:t xml:space="preserve">for example, discussions related to CA and DC enhancements, mobility enhancements and related to data duplication for </w:t>
      </w:r>
      <w:proofErr w:type="spellStart"/>
      <w:r w:rsidR="001625FB">
        <w:t>IIoT</w:t>
      </w:r>
      <w:proofErr w:type="spellEnd"/>
      <w:r w:rsidR="001625FB">
        <w:t xml:space="preserve">. However, </w:t>
      </w:r>
      <w:r w:rsidR="00B7714A">
        <w:t xml:space="preserve">in the past there wasn’t </w:t>
      </w:r>
      <w:proofErr w:type="gramStart"/>
      <w:r w:rsidR="00B7714A">
        <w:t>sufficient</w:t>
      </w:r>
      <w:proofErr w:type="gramEnd"/>
      <w:r w:rsidR="00B7714A">
        <w:t xml:space="preserve"> </w:t>
      </w:r>
      <w:r w:rsidR="001625FB">
        <w:t>consensus among</w:t>
      </w:r>
      <w:r w:rsidR="00B7714A">
        <w:t xml:space="preserve"> 3GPP companies to move forward on this feature. 3GPP should continue to consider this possibility since it could be beneficial to not only for this scenario but also other features, such as </w:t>
      </w:r>
      <w:proofErr w:type="spellStart"/>
      <w:r w:rsidR="00B7714A">
        <w:t>IIoT</w:t>
      </w:r>
      <w:proofErr w:type="spellEnd"/>
      <w:r w:rsidR="00B7714A">
        <w:t xml:space="preserve">. </w:t>
      </w:r>
    </w:p>
    <w:p w14:paraId="09612C45" w14:textId="53865127" w:rsidR="005C28B1" w:rsidRPr="002012F5" w:rsidRDefault="002012F5" w:rsidP="00DA55D4">
      <w:pPr>
        <w:rPr>
          <w:b/>
        </w:rPr>
      </w:pPr>
      <w:r w:rsidRPr="002012F5">
        <w:rPr>
          <w:b/>
        </w:rPr>
        <w:t>Proposal 3: 3GPP should continue to consider extension of dual connectivity to more than 2 legs to enable a consistent route redundancy solution across SA-mode and NSA-mode IAB nodes.</w:t>
      </w:r>
    </w:p>
    <w:p w14:paraId="6820C3C8" w14:textId="253B33CE" w:rsidR="00F97396" w:rsidRDefault="00060928" w:rsidP="00B7714A">
      <w:r>
        <w:t xml:space="preserve"> </w:t>
      </w:r>
    </w:p>
    <w:p w14:paraId="70C82586" w14:textId="6A5BE23B" w:rsidR="008D04DC" w:rsidRDefault="007C3145" w:rsidP="008D04DC">
      <w:pPr>
        <w:pStyle w:val="Heading1"/>
      </w:pPr>
      <w:r>
        <w:t>Conclusion</w:t>
      </w:r>
    </w:p>
    <w:p w14:paraId="5D3F33F4" w14:textId="0D6A3A9B" w:rsidR="00F35C83" w:rsidRDefault="00312B92" w:rsidP="00F35C83">
      <w:pPr>
        <w:rPr>
          <w:b/>
          <w:lang w:val="en-GB"/>
        </w:rPr>
      </w:pPr>
      <w:r>
        <w:rPr>
          <w:lang w:val="en-GB"/>
        </w:rPr>
        <w:t>I</w:t>
      </w:r>
      <w:r w:rsidR="00987D62">
        <w:rPr>
          <w:lang w:val="en-GB"/>
        </w:rPr>
        <w:t xml:space="preserve">n </w:t>
      </w:r>
      <w:r w:rsidR="002012F5">
        <w:rPr>
          <w:lang w:val="en-GB"/>
        </w:rPr>
        <w:t>this contribution we discussed the issue of providing route redundancy for NSA-mode IAB nodes. The following observation and proposals were offered for consideration</w:t>
      </w:r>
      <w:r w:rsidR="00BD46DC">
        <w:rPr>
          <w:lang w:val="en-GB"/>
        </w:rPr>
        <w:t>:</w:t>
      </w:r>
    </w:p>
    <w:p w14:paraId="4EA0FD56" w14:textId="77777777" w:rsidR="002012F5" w:rsidRPr="001C616A" w:rsidRDefault="002012F5" w:rsidP="002012F5">
      <w:pPr>
        <w:rPr>
          <w:b/>
        </w:rPr>
      </w:pPr>
      <w:r w:rsidRPr="001C616A">
        <w:rPr>
          <w:b/>
        </w:rPr>
        <w:t>Observation 1: IAB nodes operating in NSA mode cannot utilize dual connectivity to provide route redundancy</w:t>
      </w:r>
      <w:r>
        <w:rPr>
          <w:b/>
        </w:rPr>
        <w:t>.</w:t>
      </w:r>
    </w:p>
    <w:p w14:paraId="670B652C" w14:textId="23D3F1F8" w:rsidR="00DD5DA4" w:rsidRPr="0071263F" w:rsidRDefault="002012F5" w:rsidP="00DD5DA4">
      <w:pPr>
        <w:rPr>
          <w:b/>
        </w:rPr>
      </w:pPr>
      <w:r w:rsidRPr="00B7714A">
        <w:rPr>
          <w:b/>
        </w:rPr>
        <w:t>Proposal 1: 3GPP should consider the use of MT-based multiconnectivity solutions to provide route redundancy for NSA-mode IAB nodes.</w:t>
      </w:r>
    </w:p>
    <w:p w14:paraId="33EB2E37" w14:textId="77777777" w:rsidR="002012F5" w:rsidRPr="00B7714A" w:rsidRDefault="002012F5" w:rsidP="002012F5">
      <w:pPr>
        <w:rPr>
          <w:b/>
        </w:rPr>
      </w:pPr>
      <w:r w:rsidRPr="00B7714A">
        <w:rPr>
          <w:b/>
        </w:rPr>
        <w:t>Proposal 2: 3GPP should consider the use of fast SCG change solutions to provide rapid path switching between redundant routes preconfigured for NSA-mode IAB nodes.</w:t>
      </w:r>
    </w:p>
    <w:p w14:paraId="2219E91C" w14:textId="77777777" w:rsidR="002012F5" w:rsidRPr="002012F5" w:rsidRDefault="002012F5" w:rsidP="002012F5">
      <w:pPr>
        <w:rPr>
          <w:b/>
        </w:rPr>
      </w:pPr>
      <w:r w:rsidRPr="002012F5">
        <w:rPr>
          <w:b/>
        </w:rPr>
        <w:t>Proposal 3: 3GPP should continue to consider extension of dual connectivity to more than 2 legs to enable a consistent route redundancy solution across SA-mode and NSA-mode IAB nodes.</w:t>
      </w:r>
    </w:p>
    <w:p w14:paraId="1E265CDE" w14:textId="77777777" w:rsidR="00AA4B8E" w:rsidRPr="00BF3B8F" w:rsidRDefault="00AA4B8E" w:rsidP="000303D7">
      <w:pPr>
        <w:rPr>
          <w:lang w:val="en-GB"/>
        </w:rPr>
      </w:pPr>
    </w:p>
    <w:p w14:paraId="3C099C76" w14:textId="65FF6AF8" w:rsidR="00AF2C72" w:rsidRPr="006B13A0" w:rsidRDefault="00AF2C72" w:rsidP="006B13A0">
      <w:pPr>
        <w:pStyle w:val="Heading1"/>
      </w:pPr>
      <w:r>
        <w:t>Reference</w:t>
      </w:r>
      <w:r w:rsidR="00A553C2">
        <w:t>s</w:t>
      </w:r>
    </w:p>
    <w:p w14:paraId="3DAAFA87" w14:textId="77777777" w:rsidR="00E66F52" w:rsidRDefault="00520CEA" w:rsidP="00520CEA">
      <w:pPr>
        <w:pStyle w:val="2222"/>
        <w:numPr>
          <w:ilvl w:val="0"/>
          <w:numId w:val="2"/>
        </w:numPr>
        <w:spacing w:after="120" w:line="288" w:lineRule="auto"/>
        <w:ind w:left="360" w:firstLineChars="0"/>
        <w:jc w:val="left"/>
        <w:rPr>
          <w:rFonts w:cs="Times New Roman"/>
          <w:lang w:eastAsia="ko-KR"/>
        </w:rPr>
      </w:pPr>
      <w:r>
        <w:rPr>
          <w:rFonts w:cs="Times New Roman"/>
          <w:lang w:eastAsia="ko-KR"/>
        </w:rPr>
        <w:t>RP-182882, New WID: Integrated Access and Backhaul for NR, Qualcomm</w:t>
      </w:r>
    </w:p>
    <w:p w14:paraId="1CE0CC6F" w14:textId="1FE5B00A" w:rsidR="00520CEA" w:rsidRDefault="00E66F52" w:rsidP="00E66F52">
      <w:pPr>
        <w:pStyle w:val="2222"/>
        <w:numPr>
          <w:ilvl w:val="0"/>
          <w:numId w:val="2"/>
        </w:numPr>
        <w:spacing w:after="120" w:line="288" w:lineRule="auto"/>
        <w:ind w:left="360" w:firstLineChars="0"/>
        <w:jc w:val="left"/>
        <w:rPr>
          <w:rFonts w:cs="Times New Roman"/>
          <w:lang w:eastAsia="ko-KR"/>
        </w:rPr>
      </w:pPr>
      <w:r>
        <w:rPr>
          <w:rFonts w:cs="Times New Roman"/>
          <w:lang w:eastAsia="ko-KR"/>
        </w:rPr>
        <w:t>3GPP TR38.874 V16.0.0</w:t>
      </w:r>
      <w:r w:rsidRPr="003577E0">
        <w:rPr>
          <w:rFonts w:cs="Times New Roman"/>
          <w:lang w:eastAsia="ko-KR"/>
        </w:rPr>
        <w:t xml:space="preserve"> </w:t>
      </w:r>
      <w:r w:rsidR="00520CEA" w:rsidRPr="00E66F52">
        <w:rPr>
          <w:rFonts w:cs="Times New Roman"/>
          <w:lang w:eastAsia="ko-KR"/>
        </w:rPr>
        <w:t xml:space="preserve"> </w:t>
      </w:r>
    </w:p>
    <w:p w14:paraId="499F2E59" w14:textId="6F4E4677" w:rsidR="00485FCE" w:rsidRPr="00E66F52" w:rsidRDefault="00485FCE" w:rsidP="00E66F52">
      <w:pPr>
        <w:pStyle w:val="2222"/>
        <w:numPr>
          <w:ilvl w:val="0"/>
          <w:numId w:val="2"/>
        </w:numPr>
        <w:spacing w:after="120" w:line="288" w:lineRule="auto"/>
        <w:ind w:left="360" w:firstLineChars="0"/>
        <w:jc w:val="left"/>
        <w:rPr>
          <w:rFonts w:cs="Times New Roman"/>
          <w:lang w:eastAsia="ko-KR"/>
        </w:rPr>
      </w:pPr>
      <w:r>
        <w:rPr>
          <w:rFonts w:cs="Times New Roman"/>
          <w:lang w:eastAsia="ko-KR"/>
        </w:rPr>
        <w:t>RP-181433, New WID: NR mobility enhancements, Intel</w:t>
      </w:r>
    </w:p>
    <w:p w14:paraId="4AC4F983" w14:textId="77777777" w:rsidR="0034479D" w:rsidRDefault="0034479D" w:rsidP="009D1A91">
      <w:pPr>
        <w:pStyle w:val="2222"/>
        <w:spacing w:after="120" w:line="288" w:lineRule="auto"/>
        <w:ind w:firstLineChars="0" w:firstLine="0"/>
        <w:jc w:val="left"/>
        <w:rPr>
          <w:rFonts w:cs="Times New Roman"/>
          <w:lang w:eastAsia="ko-KR"/>
        </w:rPr>
      </w:pPr>
      <w:bookmarkStart w:id="3" w:name="_GoBack"/>
      <w:bookmarkEnd w:id="3"/>
    </w:p>
    <w:sectPr w:rsidR="0034479D" w:rsidSect="001D737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0A41E" w14:textId="77777777" w:rsidR="00951024" w:rsidRDefault="00951024" w:rsidP="00A03DF3">
      <w:pPr>
        <w:spacing w:after="0"/>
      </w:pPr>
      <w:r>
        <w:separator/>
      </w:r>
    </w:p>
  </w:endnote>
  <w:endnote w:type="continuationSeparator" w:id="0">
    <w:p w14:paraId="4D2095AC" w14:textId="77777777" w:rsidR="00951024" w:rsidRDefault="00951024"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464B7" w14:textId="77777777" w:rsidR="00951024" w:rsidRDefault="00951024" w:rsidP="00A03DF3">
      <w:pPr>
        <w:spacing w:after="0"/>
      </w:pPr>
      <w:r>
        <w:separator/>
      </w:r>
    </w:p>
  </w:footnote>
  <w:footnote w:type="continuationSeparator" w:id="0">
    <w:p w14:paraId="1E8C9DB0" w14:textId="77777777" w:rsidR="00951024" w:rsidRDefault="00951024"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9"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0757"/>
    <w:multiLevelType w:val="hybridMultilevel"/>
    <w:tmpl w:val="25F47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4"/>
  </w:num>
  <w:num w:numId="5">
    <w:abstractNumId w:val="9"/>
  </w:num>
  <w:num w:numId="6">
    <w:abstractNumId w:val="16"/>
  </w:num>
  <w:num w:numId="7">
    <w:abstractNumId w:val="3"/>
  </w:num>
  <w:num w:numId="8">
    <w:abstractNumId w:val="11"/>
  </w:num>
  <w:num w:numId="9">
    <w:abstractNumId w:val="25"/>
  </w:num>
  <w:num w:numId="10">
    <w:abstractNumId w:val="15"/>
  </w:num>
  <w:num w:numId="11">
    <w:abstractNumId w:val="26"/>
  </w:num>
  <w:num w:numId="12">
    <w:abstractNumId w:val="1"/>
  </w:num>
  <w:num w:numId="13">
    <w:abstractNumId w:val="7"/>
  </w:num>
  <w:num w:numId="14">
    <w:abstractNumId w:val="13"/>
  </w:num>
  <w:num w:numId="15">
    <w:abstractNumId w:val="20"/>
  </w:num>
  <w:num w:numId="16">
    <w:abstractNumId w:val="5"/>
  </w:num>
  <w:num w:numId="17">
    <w:abstractNumId w:val="10"/>
  </w:num>
  <w:num w:numId="18">
    <w:abstractNumId w:val="8"/>
  </w:num>
  <w:num w:numId="19">
    <w:abstractNumId w:val="12"/>
  </w:num>
  <w:num w:numId="20">
    <w:abstractNumId w:val="18"/>
  </w:num>
  <w:num w:numId="21">
    <w:abstractNumId w:val="24"/>
  </w:num>
  <w:num w:numId="22">
    <w:abstractNumId w:val="21"/>
  </w:num>
  <w:num w:numId="23">
    <w:abstractNumId w:val="17"/>
  </w:num>
  <w:num w:numId="24">
    <w:abstractNumId w:val="22"/>
  </w:num>
  <w:num w:numId="25">
    <w:abstractNumId w:val="14"/>
  </w:num>
  <w:num w:numId="26">
    <w:abstractNumId w:val="19"/>
  </w:num>
  <w:num w:numId="2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35A6"/>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171"/>
    <w:rsid w:val="00034E4C"/>
    <w:rsid w:val="00035544"/>
    <w:rsid w:val="00035EA3"/>
    <w:rsid w:val="00036CD9"/>
    <w:rsid w:val="00043BFA"/>
    <w:rsid w:val="00044CB4"/>
    <w:rsid w:val="00044E86"/>
    <w:rsid w:val="0004589F"/>
    <w:rsid w:val="00045958"/>
    <w:rsid w:val="00045CDA"/>
    <w:rsid w:val="00047B90"/>
    <w:rsid w:val="00051095"/>
    <w:rsid w:val="00051B99"/>
    <w:rsid w:val="00055CAE"/>
    <w:rsid w:val="00056C37"/>
    <w:rsid w:val="00060658"/>
    <w:rsid w:val="00060928"/>
    <w:rsid w:val="00060C75"/>
    <w:rsid w:val="00061478"/>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336F"/>
    <w:rsid w:val="000C54D1"/>
    <w:rsid w:val="000C5764"/>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05F"/>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B04"/>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7ECF"/>
    <w:rsid w:val="001606E4"/>
    <w:rsid w:val="001625FB"/>
    <w:rsid w:val="001636F7"/>
    <w:rsid w:val="0016463F"/>
    <w:rsid w:val="00170BEA"/>
    <w:rsid w:val="00171D11"/>
    <w:rsid w:val="001735CB"/>
    <w:rsid w:val="00175C50"/>
    <w:rsid w:val="001764C0"/>
    <w:rsid w:val="00180BD3"/>
    <w:rsid w:val="00180F3C"/>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3B56"/>
    <w:rsid w:val="001C3C25"/>
    <w:rsid w:val="001C3DDE"/>
    <w:rsid w:val="001C5B62"/>
    <w:rsid w:val="001C5C93"/>
    <w:rsid w:val="001C616A"/>
    <w:rsid w:val="001D08E4"/>
    <w:rsid w:val="001D1411"/>
    <w:rsid w:val="001D4685"/>
    <w:rsid w:val="001D4912"/>
    <w:rsid w:val="001D502E"/>
    <w:rsid w:val="001D536B"/>
    <w:rsid w:val="001D5464"/>
    <w:rsid w:val="001D7377"/>
    <w:rsid w:val="001E0FE1"/>
    <w:rsid w:val="001E5F58"/>
    <w:rsid w:val="001E60E9"/>
    <w:rsid w:val="001E7A26"/>
    <w:rsid w:val="001F0EBA"/>
    <w:rsid w:val="001F7A89"/>
    <w:rsid w:val="002012F5"/>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044C"/>
    <w:rsid w:val="002329AE"/>
    <w:rsid w:val="002343BE"/>
    <w:rsid w:val="002353B5"/>
    <w:rsid w:val="00235F16"/>
    <w:rsid w:val="00235F95"/>
    <w:rsid w:val="00236601"/>
    <w:rsid w:val="002403D2"/>
    <w:rsid w:val="00240494"/>
    <w:rsid w:val="002404C5"/>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3C7"/>
    <w:rsid w:val="00270E7D"/>
    <w:rsid w:val="002717F2"/>
    <w:rsid w:val="0027236F"/>
    <w:rsid w:val="00272DA9"/>
    <w:rsid w:val="00273449"/>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0615"/>
    <w:rsid w:val="002E3614"/>
    <w:rsid w:val="002E37DE"/>
    <w:rsid w:val="002F0C46"/>
    <w:rsid w:val="002F1B33"/>
    <w:rsid w:val="002F2224"/>
    <w:rsid w:val="002F3FC4"/>
    <w:rsid w:val="002F77F7"/>
    <w:rsid w:val="002F7814"/>
    <w:rsid w:val="00301F11"/>
    <w:rsid w:val="00303721"/>
    <w:rsid w:val="00304012"/>
    <w:rsid w:val="00304476"/>
    <w:rsid w:val="00305BD0"/>
    <w:rsid w:val="00311B98"/>
    <w:rsid w:val="0031220B"/>
    <w:rsid w:val="00312297"/>
    <w:rsid w:val="00312B92"/>
    <w:rsid w:val="003151A4"/>
    <w:rsid w:val="00316619"/>
    <w:rsid w:val="00317DDA"/>
    <w:rsid w:val="00320BD0"/>
    <w:rsid w:val="00320BDF"/>
    <w:rsid w:val="00321485"/>
    <w:rsid w:val="00322940"/>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479D"/>
    <w:rsid w:val="00346C2C"/>
    <w:rsid w:val="003547D5"/>
    <w:rsid w:val="003572C1"/>
    <w:rsid w:val="003577E0"/>
    <w:rsid w:val="00357B90"/>
    <w:rsid w:val="00363E20"/>
    <w:rsid w:val="0036606A"/>
    <w:rsid w:val="00366C1D"/>
    <w:rsid w:val="00366F6C"/>
    <w:rsid w:val="00370ACF"/>
    <w:rsid w:val="003715C7"/>
    <w:rsid w:val="003719E3"/>
    <w:rsid w:val="0037404F"/>
    <w:rsid w:val="003748EB"/>
    <w:rsid w:val="00374EB9"/>
    <w:rsid w:val="00375AB6"/>
    <w:rsid w:val="00375B1B"/>
    <w:rsid w:val="00376A4C"/>
    <w:rsid w:val="00377206"/>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6F47"/>
    <w:rsid w:val="003C7444"/>
    <w:rsid w:val="003D0616"/>
    <w:rsid w:val="003D19EF"/>
    <w:rsid w:val="003D204E"/>
    <w:rsid w:val="003D2E6C"/>
    <w:rsid w:val="003D359A"/>
    <w:rsid w:val="003D41DA"/>
    <w:rsid w:val="003D48ED"/>
    <w:rsid w:val="003D4F26"/>
    <w:rsid w:val="003D53F0"/>
    <w:rsid w:val="003D6E67"/>
    <w:rsid w:val="003D7039"/>
    <w:rsid w:val="003E13C9"/>
    <w:rsid w:val="003E2566"/>
    <w:rsid w:val="003E3239"/>
    <w:rsid w:val="003E3522"/>
    <w:rsid w:val="003E516B"/>
    <w:rsid w:val="003E5A6A"/>
    <w:rsid w:val="003E6804"/>
    <w:rsid w:val="003E78B6"/>
    <w:rsid w:val="003E7DEE"/>
    <w:rsid w:val="003F069B"/>
    <w:rsid w:val="003F18D4"/>
    <w:rsid w:val="003F1A54"/>
    <w:rsid w:val="003F1C52"/>
    <w:rsid w:val="003F4BCF"/>
    <w:rsid w:val="003F6345"/>
    <w:rsid w:val="003F664D"/>
    <w:rsid w:val="003F6824"/>
    <w:rsid w:val="003F68FF"/>
    <w:rsid w:val="003F7524"/>
    <w:rsid w:val="00401CA4"/>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5FCE"/>
    <w:rsid w:val="00487D79"/>
    <w:rsid w:val="00491CAF"/>
    <w:rsid w:val="00492AF8"/>
    <w:rsid w:val="004934E6"/>
    <w:rsid w:val="0049529B"/>
    <w:rsid w:val="004974FF"/>
    <w:rsid w:val="0049755C"/>
    <w:rsid w:val="004A0812"/>
    <w:rsid w:val="004A199C"/>
    <w:rsid w:val="004A1FDE"/>
    <w:rsid w:val="004A361B"/>
    <w:rsid w:val="004A5460"/>
    <w:rsid w:val="004A6EA1"/>
    <w:rsid w:val="004A7A2D"/>
    <w:rsid w:val="004A7A57"/>
    <w:rsid w:val="004B08BE"/>
    <w:rsid w:val="004B1914"/>
    <w:rsid w:val="004B250E"/>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D73"/>
    <w:rsid w:val="004D31C7"/>
    <w:rsid w:val="004D4847"/>
    <w:rsid w:val="004E24E6"/>
    <w:rsid w:val="004E2B12"/>
    <w:rsid w:val="004E7803"/>
    <w:rsid w:val="004F14EC"/>
    <w:rsid w:val="004F178A"/>
    <w:rsid w:val="004F4000"/>
    <w:rsid w:val="005005DC"/>
    <w:rsid w:val="00501D16"/>
    <w:rsid w:val="00502F81"/>
    <w:rsid w:val="00504DBF"/>
    <w:rsid w:val="0050563E"/>
    <w:rsid w:val="00507616"/>
    <w:rsid w:val="00507EA9"/>
    <w:rsid w:val="00512C66"/>
    <w:rsid w:val="005132EB"/>
    <w:rsid w:val="00515991"/>
    <w:rsid w:val="00517073"/>
    <w:rsid w:val="00520CEA"/>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5F92"/>
    <w:rsid w:val="00566D2E"/>
    <w:rsid w:val="005672AD"/>
    <w:rsid w:val="0056776F"/>
    <w:rsid w:val="00571745"/>
    <w:rsid w:val="005719A3"/>
    <w:rsid w:val="00572547"/>
    <w:rsid w:val="005745E3"/>
    <w:rsid w:val="00574896"/>
    <w:rsid w:val="00576219"/>
    <w:rsid w:val="00577765"/>
    <w:rsid w:val="00577EBD"/>
    <w:rsid w:val="005810E5"/>
    <w:rsid w:val="00582039"/>
    <w:rsid w:val="00582F17"/>
    <w:rsid w:val="00583324"/>
    <w:rsid w:val="00585441"/>
    <w:rsid w:val="00585A03"/>
    <w:rsid w:val="0058635D"/>
    <w:rsid w:val="0058748B"/>
    <w:rsid w:val="00591605"/>
    <w:rsid w:val="0059203A"/>
    <w:rsid w:val="00594E1F"/>
    <w:rsid w:val="0059696B"/>
    <w:rsid w:val="005A13B6"/>
    <w:rsid w:val="005A47ED"/>
    <w:rsid w:val="005A773C"/>
    <w:rsid w:val="005B4A31"/>
    <w:rsid w:val="005C17F4"/>
    <w:rsid w:val="005C1AF3"/>
    <w:rsid w:val="005C1BF7"/>
    <w:rsid w:val="005C1CAB"/>
    <w:rsid w:val="005C2365"/>
    <w:rsid w:val="005C28B1"/>
    <w:rsid w:val="005C2E6A"/>
    <w:rsid w:val="005C5F6F"/>
    <w:rsid w:val="005C68CF"/>
    <w:rsid w:val="005C6FED"/>
    <w:rsid w:val="005D1107"/>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57A2"/>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2E8A"/>
    <w:rsid w:val="00683F52"/>
    <w:rsid w:val="00684402"/>
    <w:rsid w:val="0068601C"/>
    <w:rsid w:val="0068751A"/>
    <w:rsid w:val="00690ECB"/>
    <w:rsid w:val="00692A94"/>
    <w:rsid w:val="006931F2"/>
    <w:rsid w:val="0069347B"/>
    <w:rsid w:val="00695584"/>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2D4"/>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49AC"/>
    <w:rsid w:val="007062CE"/>
    <w:rsid w:val="00707D90"/>
    <w:rsid w:val="00707EB7"/>
    <w:rsid w:val="0071017C"/>
    <w:rsid w:val="0071263F"/>
    <w:rsid w:val="007133C3"/>
    <w:rsid w:val="00713FEA"/>
    <w:rsid w:val="007150AB"/>
    <w:rsid w:val="00715978"/>
    <w:rsid w:val="00716FCF"/>
    <w:rsid w:val="00721AED"/>
    <w:rsid w:val="007220D3"/>
    <w:rsid w:val="007224EE"/>
    <w:rsid w:val="00723119"/>
    <w:rsid w:val="00723BBF"/>
    <w:rsid w:val="00724A2A"/>
    <w:rsid w:val="00725721"/>
    <w:rsid w:val="00726830"/>
    <w:rsid w:val="00726A03"/>
    <w:rsid w:val="007314F6"/>
    <w:rsid w:val="00731CA1"/>
    <w:rsid w:val="007354D0"/>
    <w:rsid w:val="007363D1"/>
    <w:rsid w:val="00737941"/>
    <w:rsid w:val="00737AE7"/>
    <w:rsid w:val="0074405F"/>
    <w:rsid w:val="00744101"/>
    <w:rsid w:val="007450E7"/>
    <w:rsid w:val="00747B4E"/>
    <w:rsid w:val="00751C29"/>
    <w:rsid w:val="007523CE"/>
    <w:rsid w:val="00752458"/>
    <w:rsid w:val="007527B6"/>
    <w:rsid w:val="00756B03"/>
    <w:rsid w:val="007609D8"/>
    <w:rsid w:val="0076148F"/>
    <w:rsid w:val="00761948"/>
    <w:rsid w:val="007627D6"/>
    <w:rsid w:val="0076369B"/>
    <w:rsid w:val="0076467D"/>
    <w:rsid w:val="007646E8"/>
    <w:rsid w:val="0076536B"/>
    <w:rsid w:val="00765500"/>
    <w:rsid w:val="00767F04"/>
    <w:rsid w:val="007709F1"/>
    <w:rsid w:val="007712A1"/>
    <w:rsid w:val="00774985"/>
    <w:rsid w:val="00775052"/>
    <w:rsid w:val="0077540B"/>
    <w:rsid w:val="007759B8"/>
    <w:rsid w:val="00775CDB"/>
    <w:rsid w:val="00777489"/>
    <w:rsid w:val="00777ECD"/>
    <w:rsid w:val="00780F90"/>
    <w:rsid w:val="00782137"/>
    <w:rsid w:val="00782F4C"/>
    <w:rsid w:val="007842E3"/>
    <w:rsid w:val="00784323"/>
    <w:rsid w:val="007854CB"/>
    <w:rsid w:val="00785B2C"/>
    <w:rsid w:val="00785FC0"/>
    <w:rsid w:val="00787355"/>
    <w:rsid w:val="00787DC9"/>
    <w:rsid w:val="007933F1"/>
    <w:rsid w:val="00794BEE"/>
    <w:rsid w:val="007951DD"/>
    <w:rsid w:val="00795488"/>
    <w:rsid w:val="00795D96"/>
    <w:rsid w:val="007A2CF5"/>
    <w:rsid w:val="007A2D9C"/>
    <w:rsid w:val="007A4702"/>
    <w:rsid w:val="007A5533"/>
    <w:rsid w:val="007A5A73"/>
    <w:rsid w:val="007A613D"/>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157"/>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63CF"/>
    <w:rsid w:val="00827431"/>
    <w:rsid w:val="008307E3"/>
    <w:rsid w:val="00832D6D"/>
    <w:rsid w:val="00835340"/>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29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97714"/>
    <w:rsid w:val="008A0593"/>
    <w:rsid w:val="008A1B5D"/>
    <w:rsid w:val="008A1D42"/>
    <w:rsid w:val="008A2956"/>
    <w:rsid w:val="008A47E4"/>
    <w:rsid w:val="008A5CC4"/>
    <w:rsid w:val="008A7C64"/>
    <w:rsid w:val="008B2785"/>
    <w:rsid w:val="008B3683"/>
    <w:rsid w:val="008B42BB"/>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057"/>
    <w:rsid w:val="00901CEB"/>
    <w:rsid w:val="009031D6"/>
    <w:rsid w:val="009060A4"/>
    <w:rsid w:val="00906F42"/>
    <w:rsid w:val="00907FBE"/>
    <w:rsid w:val="009109F7"/>
    <w:rsid w:val="00910EFC"/>
    <w:rsid w:val="00911809"/>
    <w:rsid w:val="00913445"/>
    <w:rsid w:val="009153CC"/>
    <w:rsid w:val="0092002C"/>
    <w:rsid w:val="00920EB9"/>
    <w:rsid w:val="00922DB8"/>
    <w:rsid w:val="00922FFE"/>
    <w:rsid w:val="0092343F"/>
    <w:rsid w:val="00923E44"/>
    <w:rsid w:val="00925B36"/>
    <w:rsid w:val="00925BD7"/>
    <w:rsid w:val="0093256C"/>
    <w:rsid w:val="00932A0E"/>
    <w:rsid w:val="00932E94"/>
    <w:rsid w:val="00935907"/>
    <w:rsid w:val="0093628F"/>
    <w:rsid w:val="00936573"/>
    <w:rsid w:val="00940F70"/>
    <w:rsid w:val="00941DF6"/>
    <w:rsid w:val="00946243"/>
    <w:rsid w:val="00946F5B"/>
    <w:rsid w:val="00947745"/>
    <w:rsid w:val="009504F2"/>
    <w:rsid w:val="00951024"/>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2584"/>
    <w:rsid w:val="009B34F4"/>
    <w:rsid w:val="009B3ABB"/>
    <w:rsid w:val="009B3CC5"/>
    <w:rsid w:val="009B63FE"/>
    <w:rsid w:val="009B6715"/>
    <w:rsid w:val="009C4798"/>
    <w:rsid w:val="009C7667"/>
    <w:rsid w:val="009C7C90"/>
    <w:rsid w:val="009D1015"/>
    <w:rsid w:val="009D1A91"/>
    <w:rsid w:val="009D3945"/>
    <w:rsid w:val="009D3D65"/>
    <w:rsid w:val="009D6967"/>
    <w:rsid w:val="009E04BB"/>
    <w:rsid w:val="009E3171"/>
    <w:rsid w:val="009E6668"/>
    <w:rsid w:val="009E7909"/>
    <w:rsid w:val="009F225B"/>
    <w:rsid w:val="009F34B1"/>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58B"/>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08C2"/>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3D98"/>
    <w:rsid w:val="00AC73EE"/>
    <w:rsid w:val="00AC7E9D"/>
    <w:rsid w:val="00AD46D6"/>
    <w:rsid w:val="00AD476B"/>
    <w:rsid w:val="00AD4BAB"/>
    <w:rsid w:val="00AD4E2E"/>
    <w:rsid w:val="00AE0F88"/>
    <w:rsid w:val="00AE1C31"/>
    <w:rsid w:val="00AE2549"/>
    <w:rsid w:val="00AE2B5E"/>
    <w:rsid w:val="00AE38B6"/>
    <w:rsid w:val="00AE585A"/>
    <w:rsid w:val="00AE5E33"/>
    <w:rsid w:val="00AE5F35"/>
    <w:rsid w:val="00AE6679"/>
    <w:rsid w:val="00AE7311"/>
    <w:rsid w:val="00AE7D6D"/>
    <w:rsid w:val="00AE7D6E"/>
    <w:rsid w:val="00AF1182"/>
    <w:rsid w:val="00AF2C72"/>
    <w:rsid w:val="00AF32DD"/>
    <w:rsid w:val="00AF4C33"/>
    <w:rsid w:val="00AF4E20"/>
    <w:rsid w:val="00B0220C"/>
    <w:rsid w:val="00B0298C"/>
    <w:rsid w:val="00B07B09"/>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2C18"/>
    <w:rsid w:val="00B342FC"/>
    <w:rsid w:val="00B34888"/>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6791F"/>
    <w:rsid w:val="00B7005D"/>
    <w:rsid w:val="00B70289"/>
    <w:rsid w:val="00B70845"/>
    <w:rsid w:val="00B70A63"/>
    <w:rsid w:val="00B71769"/>
    <w:rsid w:val="00B75BAE"/>
    <w:rsid w:val="00B7714A"/>
    <w:rsid w:val="00B8083F"/>
    <w:rsid w:val="00B83AC9"/>
    <w:rsid w:val="00B84308"/>
    <w:rsid w:val="00B86C48"/>
    <w:rsid w:val="00B86D5E"/>
    <w:rsid w:val="00B86DDF"/>
    <w:rsid w:val="00B8795D"/>
    <w:rsid w:val="00B9022A"/>
    <w:rsid w:val="00B91C42"/>
    <w:rsid w:val="00B92C1A"/>
    <w:rsid w:val="00B92EF3"/>
    <w:rsid w:val="00B9328C"/>
    <w:rsid w:val="00B940DF"/>
    <w:rsid w:val="00B94DA0"/>
    <w:rsid w:val="00B9666A"/>
    <w:rsid w:val="00B973D0"/>
    <w:rsid w:val="00BA08B9"/>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C0337D"/>
    <w:rsid w:val="00C0352D"/>
    <w:rsid w:val="00C03938"/>
    <w:rsid w:val="00C03AC6"/>
    <w:rsid w:val="00C041A2"/>
    <w:rsid w:val="00C04775"/>
    <w:rsid w:val="00C0570E"/>
    <w:rsid w:val="00C10662"/>
    <w:rsid w:val="00C125B0"/>
    <w:rsid w:val="00C12B9F"/>
    <w:rsid w:val="00C13584"/>
    <w:rsid w:val="00C13C76"/>
    <w:rsid w:val="00C1412D"/>
    <w:rsid w:val="00C15431"/>
    <w:rsid w:val="00C20564"/>
    <w:rsid w:val="00C22111"/>
    <w:rsid w:val="00C232C0"/>
    <w:rsid w:val="00C23C35"/>
    <w:rsid w:val="00C24250"/>
    <w:rsid w:val="00C24CA8"/>
    <w:rsid w:val="00C2535E"/>
    <w:rsid w:val="00C26211"/>
    <w:rsid w:val="00C26A7D"/>
    <w:rsid w:val="00C26EEA"/>
    <w:rsid w:val="00C30AC5"/>
    <w:rsid w:val="00C31268"/>
    <w:rsid w:val="00C32ABF"/>
    <w:rsid w:val="00C32E12"/>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1DAE"/>
    <w:rsid w:val="00C63851"/>
    <w:rsid w:val="00C63E31"/>
    <w:rsid w:val="00C66201"/>
    <w:rsid w:val="00C66FC0"/>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1CD"/>
    <w:rsid w:val="00C90121"/>
    <w:rsid w:val="00C92614"/>
    <w:rsid w:val="00C939F2"/>
    <w:rsid w:val="00C96D35"/>
    <w:rsid w:val="00CA1802"/>
    <w:rsid w:val="00CA1972"/>
    <w:rsid w:val="00CA2032"/>
    <w:rsid w:val="00CA233B"/>
    <w:rsid w:val="00CA3E7B"/>
    <w:rsid w:val="00CA5CDF"/>
    <w:rsid w:val="00CA6F59"/>
    <w:rsid w:val="00CA7A6F"/>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507"/>
    <w:rsid w:val="00CC4B9E"/>
    <w:rsid w:val="00CC4FB0"/>
    <w:rsid w:val="00CD2E61"/>
    <w:rsid w:val="00CD4BDE"/>
    <w:rsid w:val="00CD70AC"/>
    <w:rsid w:val="00CD79AE"/>
    <w:rsid w:val="00CD7E91"/>
    <w:rsid w:val="00CE0576"/>
    <w:rsid w:val="00CE5D77"/>
    <w:rsid w:val="00CE6A12"/>
    <w:rsid w:val="00CE7F8A"/>
    <w:rsid w:val="00CF0066"/>
    <w:rsid w:val="00CF010A"/>
    <w:rsid w:val="00CF1913"/>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2EEB"/>
    <w:rsid w:val="00D13533"/>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0903"/>
    <w:rsid w:val="00D91B82"/>
    <w:rsid w:val="00D923F2"/>
    <w:rsid w:val="00D92EFA"/>
    <w:rsid w:val="00DA04A3"/>
    <w:rsid w:val="00DA13F0"/>
    <w:rsid w:val="00DA1B9A"/>
    <w:rsid w:val="00DA53F3"/>
    <w:rsid w:val="00DA55D4"/>
    <w:rsid w:val="00DA5897"/>
    <w:rsid w:val="00DA60BB"/>
    <w:rsid w:val="00DA7B6D"/>
    <w:rsid w:val="00DB14D2"/>
    <w:rsid w:val="00DB1CA3"/>
    <w:rsid w:val="00DB2528"/>
    <w:rsid w:val="00DB32D0"/>
    <w:rsid w:val="00DB7543"/>
    <w:rsid w:val="00DB7753"/>
    <w:rsid w:val="00DC3082"/>
    <w:rsid w:val="00DC4803"/>
    <w:rsid w:val="00DC5457"/>
    <w:rsid w:val="00DC69F1"/>
    <w:rsid w:val="00DD2C39"/>
    <w:rsid w:val="00DD5DA4"/>
    <w:rsid w:val="00DE0754"/>
    <w:rsid w:val="00DE093B"/>
    <w:rsid w:val="00DE0A17"/>
    <w:rsid w:val="00DE1D60"/>
    <w:rsid w:val="00DE4BE7"/>
    <w:rsid w:val="00DE5572"/>
    <w:rsid w:val="00DE621A"/>
    <w:rsid w:val="00DE796D"/>
    <w:rsid w:val="00DF1D05"/>
    <w:rsid w:val="00DF2015"/>
    <w:rsid w:val="00DF364B"/>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2FC5"/>
    <w:rsid w:val="00E543B1"/>
    <w:rsid w:val="00E57FF6"/>
    <w:rsid w:val="00E64339"/>
    <w:rsid w:val="00E64664"/>
    <w:rsid w:val="00E6533C"/>
    <w:rsid w:val="00E6667E"/>
    <w:rsid w:val="00E66F52"/>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1350"/>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1001"/>
    <w:rsid w:val="00FA3B6B"/>
    <w:rsid w:val="00FA3E4F"/>
    <w:rsid w:val="00FA56FC"/>
    <w:rsid w:val="00FA6C31"/>
    <w:rsid w:val="00FB0A2A"/>
    <w:rsid w:val="00FB10A8"/>
    <w:rsid w:val="00FB1B76"/>
    <w:rsid w:val="00FB1D13"/>
    <w:rsid w:val="00FB2656"/>
    <w:rsid w:val="00FB3296"/>
    <w:rsid w:val="00FB3504"/>
    <w:rsid w:val="00FB4B16"/>
    <w:rsid w:val="00FB5080"/>
    <w:rsid w:val="00FB718D"/>
    <w:rsid w:val="00FC167F"/>
    <w:rsid w:val="00FC2F10"/>
    <w:rsid w:val="00FC3090"/>
    <w:rsid w:val="00FC3430"/>
    <w:rsid w:val="00FC5341"/>
    <w:rsid w:val="00FC5AE2"/>
    <w:rsid w:val="00FC7899"/>
    <w:rsid w:val="00FD1909"/>
    <w:rsid w:val="00FD1E26"/>
    <w:rsid w:val="00FD33A7"/>
    <w:rsid w:val="00FD5CB6"/>
    <w:rsid w:val="00FD6E38"/>
    <w:rsid w:val="00FE078C"/>
    <w:rsid w:val="00FE5061"/>
    <w:rsid w:val="00FE50BA"/>
    <w:rsid w:val="00FF1A08"/>
    <w:rsid w:val="00FF3CC7"/>
    <w:rsid w:val="00FF61A1"/>
    <w:rsid w:val="00FF6E5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 w:type="paragraph" w:customStyle="1" w:styleId="TH">
    <w:name w:val="TH"/>
    <w:basedOn w:val="Normal"/>
    <w:rsid w:val="003719E3"/>
    <w:pPr>
      <w:keepNext/>
      <w:keepLines/>
      <w:spacing w:before="60"/>
      <w:jc w:val="center"/>
    </w:pPr>
    <w:rPr>
      <w:rFonts w:ascii="Arial" w:eastAsia="Times New Roman" w:hAnsi="Arial"/>
      <w:b/>
      <w:sz w:val="20"/>
      <w:lang w:val="en-GB" w:eastAsia="ja-JP"/>
    </w:rPr>
  </w:style>
  <w:style w:type="paragraph" w:customStyle="1" w:styleId="B1">
    <w:name w:val="B1"/>
    <w:basedOn w:val="List"/>
    <w:rsid w:val="00142B04"/>
    <w:pPr>
      <w:ind w:left="568" w:hanging="284"/>
      <w:contextualSpacing w:val="0"/>
      <w:textAlignment w:val="auto"/>
    </w:pPr>
    <w:rPr>
      <w:rFonts w:ascii="Times New Roman" w:eastAsia="MS Mincho" w:hAnsi="Times New Roman"/>
      <w:sz w:val="20"/>
      <w:lang w:val="en-GB"/>
    </w:rPr>
  </w:style>
  <w:style w:type="paragraph" w:styleId="List">
    <w:name w:val="List"/>
    <w:basedOn w:val="Normal"/>
    <w:uiPriority w:val="99"/>
    <w:semiHidden/>
    <w:unhideWhenUsed/>
    <w:rsid w:val="00142B04"/>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074464">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6DBE8-9F31-401D-9B1E-C4633411C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4</Pages>
  <Words>1057</Words>
  <Characters>6029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59</cp:revision>
  <dcterms:created xsi:type="dcterms:W3CDTF">2019-02-12T01:39:00Z</dcterms:created>
  <dcterms:modified xsi:type="dcterms:W3CDTF">2019-02-15T03:50:00Z</dcterms:modified>
</cp:coreProperties>
</file>